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44A04" w14:textId="3E460674" w:rsidR="00492CAE" w:rsidRPr="0054275B" w:rsidRDefault="00492CAE" w:rsidP="00492CAE">
      <w:pPr>
        <w:rPr>
          <w:b/>
          <w:bCs/>
          <w:lang w:val="en-GB"/>
        </w:rPr>
      </w:pPr>
      <w:r w:rsidRPr="0054275B">
        <w:rPr>
          <w:b/>
          <w:bCs/>
          <w:lang w:val="en-GB"/>
        </w:rPr>
        <w:t>CSDDD Guidelines: Keep Guid</w:t>
      </w:r>
      <w:r w:rsidR="0054275B" w:rsidRPr="0054275B">
        <w:rPr>
          <w:b/>
          <w:bCs/>
          <w:lang w:val="en-GB"/>
        </w:rPr>
        <w:t>elines</w:t>
      </w:r>
      <w:r w:rsidRPr="0054275B">
        <w:rPr>
          <w:b/>
          <w:bCs/>
          <w:lang w:val="en-GB"/>
        </w:rPr>
        <w:t xml:space="preserve"> </w:t>
      </w:r>
      <w:r w:rsidR="00907A9C">
        <w:rPr>
          <w:b/>
          <w:bCs/>
          <w:lang w:val="en-GB"/>
        </w:rPr>
        <w:t>p</w:t>
      </w:r>
      <w:r w:rsidR="00907A9C" w:rsidRPr="0054275B">
        <w:rPr>
          <w:b/>
          <w:bCs/>
          <w:lang w:val="en-GB"/>
        </w:rPr>
        <w:t>ractical</w:t>
      </w:r>
      <w:r w:rsidRPr="0054275B">
        <w:rPr>
          <w:b/>
          <w:bCs/>
          <w:lang w:val="en-GB"/>
        </w:rPr>
        <w:t xml:space="preserve">, </w:t>
      </w:r>
      <w:r w:rsidR="001F0768">
        <w:rPr>
          <w:b/>
          <w:bCs/>
          <w:lang w:val="en-GB"/>
        </w:rPr>
        <w:t>p</w:t>
      </w:r>
      <w:r w:rsidR="001F0768" w:rsidRPr="0054275B">
        <w:rPr>
          <w:b/>
          <w:bCs/>
          <w:lang w:val="en-GB"/>
        </w:rPr>
        <w:t xml:space="preserve">roportionate </w:t>
      </w:r>
      <w:r w:rsidRPr="0054275B">
        <w:rPr>
          <w:b/>
          <w:bCs/>
          <w:lang w:val="en-GB"/>
        </w:rPr>
        <w:t xml:space="preserve">and </w:t>
      </w:r>
      <w:r w:rsidR="00A47EE2">
        <w:rPr>
          <w:b/>
          <w:bCs/>
          <w:lang w:val="en-GB"/>
        </w:rPr>
        <w:t>close</w:t>
      </w:r>
      <w:r w:rsidR="00A47EE2" w:rsidRPr="0054275B">
        <w:rPr>
          <w:b/>
          <w:bCs/>
          <w:lang w:val="en-GB"/>
        </w:rPr>
        <w:t xml:space="preserve"> </w:t>
      </w:r>
      <w:r w:rsidRPr="0054275B">
        <w:rPr>
          <w:b/>
          <w:bCs/>
          <w:lang w:val="en-GB"/>
        </w:rPr>
        <w:t>to the Directive</w:t>
      </w:r>
    </w:p>
    <w:p w14:paraId="5111B2D3" w14:textId="77777777" w:rsidR="00492CAE" w:rsidRPr="0054275B" w:rsidRDefault="00492CAE" w:rsidP="00492CAE">
      <w:pPr>
        <w:rPr>
          <w:b/>
          <w:bCs/>
          <w:lang w:val="en-GB"/>
        </w:rPr>
      </w:pPr>
    </w:p>
    <w:p w14:paraId="06ABFB7E" w14:textId="41B8651A" w:rsidR="00492CAE" w:rsidRPr="0054275B" w:rsidRDefault="00492CAE" w:rsidP="00492CAE">
      <w:pPr>
        <w:rPr>
          <w:lang w:val="en-GB"/>
        </w:rPr>
      </w:pPr>
      <w:r w:rsidRPr="0054275B">
        <w:rPr>
          <w:lang w:val="en-GB"/>
        </w:rPr>
        <w:t xml:space="preserve">The future </w:t>
      </w:r>
      <w:r w:rsidR="0054275B">
        <w:rPr>
          <w:lang w:val="en-GB"/>
        </w:rPr>
        <w:t>guidelines</w:t>
      </w:r>
      <w:r w:rsidRPr="0054275B">
        <w:rPr>
          <w:lang w:val="en-GB"/>
        </w:rPr>
        <w:t xml:space="preserve"> under the Corporate Sustainability Due Diligence Directive (CSDDD) must support a </w:t>
      </w:r>
      <w:r w:rsidRPr="00310E64">
        <w:rPr>
          <w:b/>
          <w:bCs/>
          <w:lang w:val="en-GB"/>
        </w:rPr>
        <w:t>strict 1:1 implementation of the Directive</w:t>
      </w:r>
      <w:r w:rsidRPr="0054275B">
        <w:rPr>
          <w:lang w:val="en-GB"/>
        </w:rPr>
        <w:t xml:space="preserve"> across all EU Member States. The Commission should use the </w:t>
      </w:r>
      <w:r w:rsidR="0054275B">
        <w:rPr>
          <w:lang w:val="en-GB"/>
        </w:rPr>
        <w:t>guidelines</w:t>
      </w:r>
      <w:r w:rsidRPr="0054275B">
        <w:rPr>
          <w:lang w:val="en-GB"/>
        </w:rPr>
        <w:t xml:space="preserve"> to help companies apply the law in practice — not to expand obligations beyond what the Directive requires.</w:t>
      </w:r>
      <w:r w:rsidR="009376A4">
        <w:rPr>
          <w:lang w:val="en-GB"/>
        </w:rPr>
        <w:t xml:space="preserve"> </w:t>
      </w:r>
      <w:r w:rsidRPr="0054275B">
        <w:rPr>
          <w:lang w:val="en-GB"/>
        </w:rPr>
        <w:t>To achieve this, five principles should guide the drafting process</w:t>
      </w:r>
      <w:r w:rsidR="0054275B">
        <w:rPr>
          <w:lang w:val="en-GB"/>
        </w:rPr>
        <w:t xml:space="preserve"> of the guidelines</w:t>
      </w:r>
      <w:r w:rsidRPr="0054275B">
        <w:rPr>
          <w:lang w:val="en-GB"/>
        </w:rPr>
        <w:t>:</w:t>
      </w:r>
    </w:p>
    <w:p w14:paraId="1D206283" w14:textId="77777777" w:rsidR="00492CAE" w:rsidRPr="0054275B" w:rsidRDefault="00492CAE" w:rsidP="00492CAE">
      <w:pPr>
        <w:rPr>
          <w:lang w:val="en-GB"/>
        </w:rPr>
      </w:pPr>
    </w:p>
    <w:p w14:paraId="0EDBB33E" w14:textId="5514418E" w:rsidR="00492CAE" w:rsidRPr="0054275B" w:rsidRDefault="00492CAE" w:rsidP="00492CAE">
      <w:pPr>
        <w:pStyle w:val="Listenabsatz"/>
        <w:numPr>
          <w:ilvl w:val="0"/>
          <w:numId w:val="1"/>
        </w:numPr>
        <w:rPr>
          <w:b/>
          <w:bCs/>
          <w:lang w:val="en-GB"/>
        </w:rPr>
      </w:pPr>
      <w:r w:rsidRPr="0054275B">
        <w:rPr>
          <w:b/>
          <w:bCs/>
          <w:lang w:val="en-GB"/>
        </w:rPr>
        <w:t xml:space="preserve">Keep the </w:t>
      </w:r>
      <w:r w:rsidR="0054275B">
        <w:rPr>
          <w:b/>
          <w:bCs/>
          <w:lang w:val="en-GB"/>
        </w:rPr>
        <w:t>guidelines</w:t>
      </w:r>
      <w:r w:rsidRPr="0054275B">
        <w:rPr>
          <w:b/>
          <w:bCs/>
          <w:lang w:val="en-GB"/>
        </w:rPr>
        <w:t xml:space="preserve"> strictly within the boundaries of the CSDDD</w:t>
      </w:r>
    </w:p>
    <w:p w14:paraId="4986386C" w14:textId="5C629B43" w:rsidR="00492CAE" w:rsidRDefault="00492CAE" w:rsidP="00492CAE">
      <w:pPr>
        <w:rPr>
          <w:lang w:val="en-GB"/>
        </w:rPr>
      </w:pPr>
      <w:r w:rsidRPr="0054275B">
        <w:rPr>
          <w:lang w:val="en-GB"/>
        </w:rPr>
        <w:t xml:space="preserve">The </w:t>
      </w:r>
      <w:r w:rsidR="0054275B">
        <w:rPr>
          <w:lang w:val="en-GB"/>
        </w:rPr>
        <w:t>guidelines</w:t>
      </w:r>
      <w:r w:rsidRPr="0054275B">
        <w:rPr>
          <w:lang w:val="en-GB"/>
        </w:rPr>
        <w:t xml:space="preserve"> must not create a second rulebook. It should not introduce new material requirements, broaden the scope of existing obligations or indirectly raise compliance expectations beyond the Directive itself</w:t>
      </w:r>
      <w:r w:rsidR="00E27D8E">
        <w:rPr>
          <w:lang w:val="en-GB"/>
        </w:rPr>
        <w:t>, e.g. through best practice-examples.</w:t>
      </w:r>
      <w:r w:rsidR="0000499E">
        <w:rPr>
          <w:lang w:val="en-GB"/>
        </w:rPr>
        <w:t xml:space="preserve"> </w:t>
      </w:r>
      <w:r w:rsidRPr="0054275B">
        <w:rPr>
          <w:lang w:val="en-GB"/>
        </w:rPr>
        <w:t xml:space="preserve">Companies and national authorities will rely on the </w:t>
      </w:r>
      <w:r w:rsidR="00E27D8E">
        <w:rPr>
          <w:lang w:val="en-GB"/>
        </w:rPr>
        <w:t>guidelines</w:t>
      </w:r>
      <w:r w:rsidRPr="0054275B">
        <w:rPr>
          <w:lang w:val="en-GB"/>
        </w:rPr>
        <w:t xml:space="preserve"> when applying and enforcing the CSDDD. </w:t>
      </w:r>
      <w:r w:rsidR="00EE36D8">
        <w:rPr>
          <w:lang w:val="en-GB"/>
        </w:rPr>
        <w:t>Ther</w:t>
      </w:r>
      <w:r w:rsidR="00D06948">
        <w:rPr>
          <w:lang w:val="en-GB"/>
        </w:rPr>
        <w:t>efore,</w:t>
      </w:r>
      <w:r w:rsidR="00750B4B">
        <w:rPr>
          <w:lang w:val="en-GB"/>
        </w:rPr>
        <w:t xml:space="preserve"> </w:t>
      </w:r>
      <w:r w:rsidR="007D536A">
        <w:rPr>
          <w:lang w:val="en-GB"/>
        </w:rPr>
        <w:t>it is n</w:t>
      </w:r>
      <w:r w:rsidR="00C001CD">
        <w:rPr>
          <w:lang w:val="en-GB"/>
        </w:rPr>
        <w:t>e</w:t>
      </w:r>
      <w:r w:rsidR="00A741D0">
        <w:rPr>
          <w:lang w:val="en-GB"/>
        </w:rPr>
        <w:t>cessary</w:t>
      </w:r>
      <w:r w:rsidR="000836F7">
        <w:rPr>
          <w:lang w:val="en-GB"/>
        </w:rPr>
        <w:t xml:space="preserve"> to </w:t>
      </w:r>
      <w:r w:rsidR="00A315B0">
        <w:rPr>
          <w:lang w:val="en-GB"/>
        </w:rPr>
        <w:t>st</w:t>
      </w:r>
      <w:r w:rsidR="007A2061">
        <w:rPr>
          <w:lang w:val="en-GB"/>
        </w:rPr>
        <w:t>ren</w:t>
      </w:r>
      <w:r w:rsidR="009349A3">
        <w:rPr>
          <w:lang w:val="en-GB"/>
        </w:rPr>
        <w:t>g</w:t>
      </w:r>
      <w:r w:rsidR="00175B54">
        <w:rPr>
          <w:lang w:val="en-GB"/>
        </w:rPr>
        <w:t xml:space="preserve">then </w:t>
      </w:r>
      <w:r w:rsidRPr="0054275B">
        <w:rPr>
          <w:lang w:val="en-GB"/>
        </w:rPr>
        <w:t>legal</w:t>
      </w:r>
      <w:r w:rsidR="00B84585">
        <w:rPr>
          <w:lang w:val="en-GB"/>
        </w:rPr>
        <w:t xml:space="preserve"> </w:t>
      </w:r>
      <w:r w:rsidR="00583951">
        <w:rPr>
          <w:lang w:val="en-GB"/>
        </w:rPr>
        <w:t>clarit</w:t>
      </w:r>
      <w:r w:rsidR="0049336B">
        <w:rPr>
          <w:lang w:val="en-GB"/>
        </w:rPr>
        <w:t>y and</w:t>
      </w:r>
      <w:r w:rsidR="00164F87">
        <w:rPr>
          <w:lang w:val="en-GB"/>
        </w:rPr>
        <w:t xml:space="preserve"> lega</w:t>
      </w:r>
      <w:r w:rsidR="001210D0">
        <w:rPr>
          <w:lang w:val="en-GB"/>
        </w:rPr>
        <w:t>l</w:t>
      </w:r>
      <w:r w:rsidRPr="0054275B">
        <w:rPr>
          <w:lang w:val="en-GB"/>
        </w:rPr>
        <w:t xml:space="preserve"> certainty.</w:t>
      </w:r>
    </w:p>
    <w:p w14:paraId="3F8C97E5" w14:textId="77777777" w:rsidR="00316A62" w:rsidRDefault="00316A62" w:rsidP="00492CAE">
      <w:pPr>
        <w:rPr>
          <w:lang w:val="en-GB"/>
        </w:rPr>
      </w:pPr>
    </w:p>
    <w:p w14:paraId="4FA8B8FA" w14:textId="7081A202" w:rsidR="00316A62" w:rsidRPr="00DE6D0D" w:rsidRDefault="00316A62" w:rsidP="00DE6D0D">
      <w:pPr>
        <w:pStyle w:val="Listenabsatz"/>
        <w:numPr>
          <w:ilvl w:val="0"/>
          <w:numId w:val="1"/>
        </w:numPr>
        <w:rPr>
          <w:b/>
          <w:bCs/>
          <w:lang w:val="en-GB"/>
        </w:rPr>
      </w:pPr>
      <w:r w:rsidRPr="00DE6D0D">
        <w:rPr>
          <w:b/>
          <w:bCs/>
          <w:lang w:val="en-GB"/>
        </w:rPr>
        <w:t>Focus on practical implementation, not regulatory expansion</w:t>
      </w:r>
    </w:p>
    <w:p w14:paraId="16CD2058" w14:textId="573E27BD" w:rsidR="00316A62" w:rsidRPr="0054275B" w:rsidRDefault="00316A62" w:rsidP="00316A62">
      <w:pPr>
        <w:rPr>
          <w:lang w:val="en-GB"/>
        </w:rPr>
      </w:pPr>
      <w:r w:rsidRPr="0054275B">
        <w:rPr>
          <w:lang w:val="en-GB"/>
        </w:rPr>
        <w:t xml:space="preserve">The </w:t>
      </w:r>
      <w:r>
        <w:rPr>
          <w:lang w:val="en-GB"/>
        </w:rPr>
        <w:t>guidelines</w:t>
      </w:r>
      <w:r w:rsidRPr="0054275B">
        <w:rPr>
          <w:lang w:val="en-GB"/>
        </w:rPr>
        <w:t xml:space="preserve"> should help companies apply</w:t>
      </w:r>
      <w:r>
        <w:rPr>
          <w:lang w:val="en-GB"/>
        </w:rPr>
        <w:t>ing</w:t>
      </w:r>
      <w:r w:rsidRPr="0054275B">
        <w:rPr>
          <w:lang w:val="en-GB"/>
        </w:rPr>
        <w:t xml:space="preserve"> the Directive in a workable and proportionate way.</w:t>
      </w:r>
      <w:r>
        <w:rPr>
          <w:lang w:val="en-GB"/>
        </w:rPr>
        <w:t xml:space="preserve"> </w:t>
      </w:r>
      <w:r w:rsidR="00D72298">
        <w:rPr>
          <w:lang w:val="en-GB"/>
        </w:rPr>
        <w:t xml:space="preserve">They should therefore be </w:t>
      </w:r>
      <w:r w:rsidR="00D72298" w:rsidRPr="00D72298">
        <w:rPr>
          <w:lang w:val="en-GB"/>
        </w:rPr>
        <w:t>concise, operational and designed for business practitioners responsible for implementation.</w:t>
      </w:r>
      <w:r w:rsidR="00D72298">
        <w:rPr>
          <w:lang w:val="en-GB"/>
        </w:rPr>
        <w:t xml:space="preserve"> </w:t>
      </w:r>
      <w:r w:rsidRPr="0054275B">
        <w:rPr>
          <w:lang w:val="en-GB"/>
        </w:rPr>
        <w:t>This includes recognising cooperative approaches in supply chains, supporting industry initiatives and allowing companies sufficient flexibility when prioritising risks and engaging stakeholders.</w:t>
      </w:r>
      <w:r>
        <w:rPr>
          <w:lang w:val="en-GB"/>
        </w:rPr>
        <w:t xml:space="preserve"> </w:t>
      </w:r>
      <w:r w:rsidR="00D41DA5" w:rsidRPr="00D41DA5">
        <w:rPr>
          <w:lang w:val="en-GB"/>
        </w:rPr>
        <w:t>The guidelines should recognise due diligence as a risk-based process and avoid creating unrealistic expectations regarding companies' ability to identify and control all risks throughout complex value chains.</w:t>
      </w:r>
      <w:r w:rsidR="00D41DA5">
        <w:rPr>
          <w:lang w:val="en-GB"/>
        </w:rPr>
        <w:t xml:space="preserve"> </w:t>
      </w:r>
      <w:r w:rsidRPr="0054275B">
        <w:rPr>
          <w:lang w:val="en-GB"/>
        </w:rPr>
        <w:t xml:space="preserve">The </w:t>
      </w:r>
      <w:r>
        <w:rPr>
          <w:lang w:val="en-GB"/>
        </w:rPr>
        <w:t>experiences with</w:t>
      </w:r>
      <w:r w:rsidRPr="0054275B">
        <w:rPr>
          <w:lang w:val="en-GB"/>
        </w:rPr>
        <w:t xml:space="preserve"> the</w:t>
      </w:r>
      <w:r>
        <w:rPr>
          <w:lang w:val="en-GB"/>
        </w:rPr>
        <w:t xml:space="preserve"> ESRS </w:t>
      </w:r>
      <w:r w:rsidRPr="0054275B">
        <w:rPr>
          <w:lang w:val="en-GB"/>
        </w:rPr>
        <w:t xml:space="preserve">under the </w:t>
      </w:r>
      <w:r>
        <w:rPr>
          <w:lang w:val="en-GB"/>
        </w:rPr>
        <w:t xml:space="preserve">CSRD </w:t>
      </w:r>
      <w:r w:rsidRPr="0054275B">
        <w:rPr>
          <w:lang w:val="en-GB"/>
        </w:rPr>
        <w:t xml:space="preserve">should not </w:t>
      </w:r>
      <w:r>
        <w:rPr>
          <w:lang w:val="en-GB"/>
        </w:rPr>
        <w:t xml:space="preserve">be </w:t>
      </w:r>
      <w:r w:rsidRPr="0054275B">
        <w:rPr>
          <w:lang w:val="en-GB"/>
        </w:rPr>
        <w:t>repeat</w:t>
      </w:r>
      <w:r>
        <w:rPr>
          <w:lang w:val="en-GB"/>
        </w:rPr>
        <w:t>ed</w:t>
      </w:r>
      <w:r w:rsidRPr="0054275B">
        <w:rPr>
          <w:lang w:val="en-GB"/>
        </w:rPr>
        <w:t xml:space="preserve">. </w:t>
      </w:r>
      <w:r>
        <w:rPr>
          <w:lang w:val="en-GB"/>
        </w:rPr>
        <w:t>Therefore, the guidelines</w:t>
      </w:r>
      <w:r w:rsidRPr="0054275B">
        <w:rPr>
          <w:lang w:val="en-GB"/>
        </w:rPr>
        <w:t xml:space="preserve"> must not become a second layer of regulation that goes beyond the political agreement reached in the CSDDD.</w:t>
      </w:r>
    </w:p>
    <w:p w14:paraId="5F6693A8" w14:textId="77777777" w:rsidR="00492CAE" w:rsidRPr="0054275B" w:rsidRDefault="00492CAE" w:rsidP="00492CAE">
      <w:pPr>
        <w:rPr>
          <w:lang w:val="en-GB"/>
        </w:rPr>
      </w:pPr>
    </w:p>
    <w:p w14:paraId="25DEF2D3" w14:textId="7FBA7F48" w:rsidR="00492CAE" w:rsidRPr="0054275B" w:rsidRDefault="00492CAE" w:rsidP="00DE6D0D">
      <w:pPr>
        <w:pStyle w:val="Listenabsatz"/>
        <w:numPr>
          <w:ilvl w:val="0"/>
          <w:numId w:val="1"/>
        </w:numPr>
        <w:rPr>
          <w:lang w:val="en-GB"/>
        </w:rPr>
      </w:pPr>
      <w:r w:rsidRPr="0054275B">
        <w:rPr>
          <w:b/>
          <w:bCs/>
          <w:lang w:val="en-GB"/>
        </w:rPr>
        <w:t>Avoid best</w:t>
      </w:r>
      <w:r w:rsidR="00E27D8E">
        <w:rPr>
          <w:b/>
          <w:bCs/>
          <w:lang w:val="en-GB"/>
        </w:rPr>
        <w:t xml:space="preserve"> </w:t>
      </w:r>
      <w:r w:rsidRPr="0054275B">
        <w:rPr>
          <w:b/>
          <w:bCs/>
          <w:lang w:val="en-GB"/>
        </w:rPr>
        <w:t>practice examples that create de facto obligations</w:t>
      </w:r>
    </w:p>
    <w:p w14:paraId="0096CF83" w14:textId="5F4C566E" w:rsidR="00492CAE" w:rsidRPr="0054275B" w:rsidRDefault="00492CAE" w:rsidP="00492CAE">
      <w:pPr>
        <w:rPr>
          <w:lang w:val="en-GB"/>
        </w:rPr>
      </w:pPr>
      <w:r w:rsidRPr="0054275B">
        <w:rPr>
          <w:lang w:val="en-GB"/>
        </w:rPr>
        <w:t xml:space="preserve">The Commission should not include extensive best-practice examples in the </w:t>
      </w:r>
      <w:r w:rsidR="00931EFE">
        <w:rPr>
          <w:lang w:val="en-GB"/>
        </w:rPr>
        <w:t>guidelines</w:t>
      </w:r>
      <w:r w:rsidRPr="0054275B">
        <w:rPr>
          <w:lang w:val="en-GB"/>
        </w:rPr>
        <w:t>.</w:t>
      </w:r>
      <w:r w:rsidR="003E212D">
        <w:rPr>
          <w:lang w:val="en-GB"/>
        </w:rPr>
        <w:t xml:space="preserve">  </w:t>
      </w:r>
      <w:r w:rsidRPr="0054275B">
        <w:rPr>
          <w:lang w:val="en-GB"/>
        </w:rPr>
        <w:t xml:space="preserve">Many international frameworks </w:t>
      </w:r>
      <w:r w:rsidR="00D430BF">
        <w:rPr>
          <w:lang w:val="en-GB"/>
        </w:rPr>
        <w:t>and</w:t>
      </w:r>
      <w:r w:rsidR="00993179">
        <w:rPr>
          <w:lang w:val="en-GB"/>
        </w:rPr>
        <w:t xml:space="preserve"> </w:t>
      </w:r>
      <w:r w:rsidR="009251BA">
        <w:rPr>
          <w:lang w:val="en-GB"/>
        </w:rPr>
        <w:t>g</w:t>
      </w:r>
      <w:r w:rsidR="00756221">
        <w:rPr>
          <w:lang w:val="en-GB"/>
        </w:rPr>
        <w:t>uidance</w:t>
      </w:r>
      <w:r w:rsidR="000B40BF">
        <w:rPr>
          <w:lang w:val="en-GB"/>
        </w:rPr>
        <w:t xml:space="preserve"> document</w:t>
      </w:r>
      <w:r w:rsidR="00145CCD">
        <w:rPr>
          <w:lang w:val="en-GB"/>
        </w:rPr>
        <w:t>s</w:t>
      </w:r>
      <w:r w:rsidR="00763D3F">
        <w:rPr>
          <w:lang w:val="en-GB"/>
        </w:rPr>
        <w:t xml:space="preserve"> </w:t>
      </w:r>
      <w:r w:rsidRPr="0054275B">
        <w:rPr>
          <w:lang w:val="en-GB"/>
        </w:rPr>
        <w:t xml:space="preserve">already provide </w:t>
      </w:r>
      <w:proofErr w:type="gramStart"/>
      <w:r w:rsidR="00CE464B">
        <w:rPr>
          <w:lang w:val="en-GB"/>
        </w:rPr>
        <w:t>a l</w:t>
      </w:r>
      <w:r w:rsidR="00392B96">
        <w:rPr>
          <w:lang w:val="en-GB"/>
        </w:rPr>
        <w:t>arge numbe</w:t>
      </w:r>
      <w:r w:rsidR="00D47B66">
        <w:rPr>
          <w:lang w:val="en-GB"/>
        </w:rPr>
        <w:t>r of</w:t>
      </w:r>
      <w:proofErr w:type="gramEnd"/>
      <w:r w:rsidR="00D47B66">
        <w:rPr>
          <w:lang w:val="en-GB"/>
        </w:rPr>
        <w:t xml:space="preserve"> </w:t>
      </w:r>
      <w:r w:rsidRPr="0054275B">
        <w:rPr>
          <w:lang w:val="en-GB"/>
        </w:rPr>
        <w:t xml:space="preserve">practical examples, including </w:t>
      </w:r>
      <w:r w:rsidR="000B40BF">
        <w:rPr>
          <w:lang w:val="en-GB"/>
        </w:rPr>
        <w:t>t</w:t>
      </w:r>
      <w:r w:rsidR="00372FAB">
        <w:rPr>
          <w:lang w:val="en-GB"/>
        </w:rPr>
        <w:t>hose issued b</w:t>
      </w:r>
      <w:r w:rsidR="000B40BF">
        <w:rPr>
          <w:lang w:val="en-GB"/>
        </w:rPr>
        <w:t>y</w:t>
      </w:r>
      <w:r w:rsidR="000A7A81">
        <w:rPr>
          <w:lang w:val="en-GB"/>
        </w:rPr>
        <w:t xml:space="preserve"> </w:t>
      </w:r>
      <w:r w:rsidR="00E522A4">
        <w:rPr>
          <w:lang w:val="en-GB"/>
        </w:rPr>
        <w:t xml:space="preserve">the </w:t>
      </w:r>
      <w:r w:rsidRPr="0054275B">
        <w:rPr>
          <w:lang w:val="en-GB"/>
        </w:rPr>
        <w:t>OECD</w:t>
      </w:r>
      <w:r w:rsidR="00A95859">
        <w:rPr>
          <w:lang w:val="en-GB"/>
        </w:rPr>
        <w:t>,</w:t>
      </w:r>
      <w:r w:rsidRPr="0054275B">
        <w:rPr>
          <w:lang w:val="en-GB"/>
        </w:rPr>
        <w:t xml:space="preserve"> </w:t>
      </w:r>
      <w:r w:rsidR="003B6703">
        <w:rPr>
          <w:lang w:val="en-GB"/>
        </w:rPr>
        <w:t xml:space="preserve">the </w:t>
      </w:r>
      <w:r w:rsidRPr="0054275B">
        <w:rPr>
          <w:lang w:val="en-GB"/>
        </w:rPr>
        <w:t>UN</w:t>
      </w:r>
      <w:r w:rsidR="00570A97">
        <w:rPr>
          <w:lang w:val="en-GB"/>
        </w:rPr>
        <w:t xml:space="preserve"> and</w:t>
      </w:r>
      <w:r w:rsidR="00A95859">
        <w:rPr>
          <w:lang w:val="en-GB"/>
        </w:rPr>
        <w:t xml:space="preserve"> </w:t>
      </w:r>
      <w:r w:rsidR="0020434A">
        <w:rPr>
          <w:lang w:val="en-GB"/>
        </w:rPr>
        <w:t>sec</w:t>
      </w:r>
      <w:r w:rsidR="00A95859">
        <w:rPr>
          <w:lang w:val="en-GB"/>
        </w:rPr>
        <w:t>tor initiatives</w:t>
      </w:r>
      <w:r w:rsidRPr="0054275B">
        <w:rPr>
          <w:lang w:val="en-GB"/>
        </w:rPr>
        <w:t xml:space="preserve">. If the Commission adds further examples, companies </w:t>
      </w:r>
      <w:r w:rsidR="00FF37A2">
        <w:rPr>
          <w:lang w:val="en-GB"/>
        </w:rPr>
        <w:t>ar</w:t>
      </w:r>
      <w:r w:rsidR="006B7F91">
        <w:rPr>
          <w:lang w:val="en-GB"/>
        </w:rPr>
        <w:t xml:space="preserve">e </w:t>
      </w:r>
      <w:r w:rsidR="00B11AB9">
        <w:rPr>
          <w:lang w:val="en-GB"/>
        </w:rPr>
        <w:t xml:space="preserve">being </w:t>
      </w:r>
      <w:r w:rsidR="00E14CCD">
        <w:rPr>
          <w:lang w:val="en-GB"/>
        </w:rPr>
        <w:t>mi</w:t>
      </w:r>
      <w:r w:rsidR="00360064">
        <w:rPr>
          <w:lang w:val="en-GB"/>
        </w:rPr>
        <w:t>sl</w:t>
      </w:r>
      <w:r w:rsidR="00D1061F">
        <w:rPr>
          <w:lang w:val="en-GB"/>
        </w:rPr>
        <w:t xml:space="preserve">ed and </w:t>
      </w:r>
      <w:r w:rsidRPr="0054275B">
        <w:rPr>
          <w:lang w:val="en-GB"/>
        </w:rPr>
        <w:t>may treat them as mandatory in practice, even where the law does not require this.</w:t>
      </w:r>
      <w:r w:rsidR="000663AE">
        <w:rPr>
          <w:lang w:val="en-GB"/>
        </w:rPr>
        <w:t xml:space="preserve"> </w:t>
      </w:r>
      <w:r w:rsidR="00931EFE">
        <w:rPr>
          <w:lang w:val="en-GB"/>
        </w:rPr>
        <w:t>Guidelines</w:t>
      </w:r>
      <w:r w:rsidRPr="0054275B">
        <w:rPr>
          <w:lang w:val="en-GB"/>
        </w:rPr>
        <w:t xml:space="preserve"> should explain legal obligations, not create new benchmarks.</w:t>
      </w:r>
    </w:p>
    <w:p w14:paraId="3BA13098" w14:textId="77777777" w:rsidR="00492CAE" w:rsidRPr="0054275B" w:rsidRDefault="00492CAE" w:rsidP="00492CAE">
      <w:pPr>
        <w:rPr>
          <w:lang w:val="en-GB"/>
        </w:rPr>
      </w:pPr>
    </w:p>
    <w:p w14:paraId="34A3910F" w14:textId="53B07ADC" w:rsidR="00492CAE" w:rsidRPr="0054275B" w:rsidRDefault="00492CAE" w:rsidP="00DE6D0D">
      <w:pPr>
        <w:pStyle w:val="Listenabsatz"/>
        <w:numPr>
          <w:ilvl w:val="0"/>
          <w:numId w:val="1"/>
        </w:numPr>
        <w:rPr>
          <w:b/>
          <w:bCs/>
          <w:lang w:val="en-GB"/>
        </w:rPr>
      </w:pPr>
      <w:r w:rsidRPr="0054275B">
        <w:rPr>
          <w:b/>
          <w:bCs/>
          <w:lang w:val="en-GB"/>
        </w:rPr>
        <w:t>Keep model contract clauses proportionate and SME-friendly</w:t>
      </w:r>
    </w:p>
    <w:p w14:paraId="53DCA53C" w14:textId="49640F81" w:rsidR="00FA2ADB" w:rsidRPr="0054275B" w:rsidRDefault="00FA2ADB" w:rsidP="00CD31B1">
      <w:pPr>
        <w:rPr>
          <w:lang w:val="en-GB"/>
        </w:rPr>
      </w:pPr>
      <w:r w:rsidRPr="0054275B">
        <w:rPr>
          <w:lang w:val="en-GB"/>
        </w:rPr>
        <w:t xml:space="preserve">Model contract clauses under Article 18 should support </w:t>
      </w:r>
      <w:r>
        <w:rPr>
          <w:lang w:val="en-GB"/>
        </w:rPr>
        <w:t xml:space="preserve">appropriate </w:t>
      </w:r>
      <w:r w:rsidRPr="0054275B">
        <w:rPr>
          <w:lang w:val="en-GB"/>
        </w:rPr>
        <w:t>cooperation across supply chains. They should not transfer due diligence obligations from companies in scope to suppliers.</w:t>
      </w:r>
      <w:r>
        <w:rPr>
          <w:lang w:val="en-GB"/>
        </w:rPr>
        <w:t xml:space="preserve"> </w:t>
      </w:r>
      <w:r w:rsidRPr="0054275B">
        <w:rPr>
          <w:lang w:val="en-GB"/>
        </w:rPr>
        <w:t>In particular, the clauses must avoid disproportionate audit, reporting or information obligations for SMEs. Overly complex contractual requirements would weaken acceptance and create unnecessary bureaucracy.</w:t>
      </w:r>
      <w:r>
        <w:rPr>
          <w:lang w:val="en-GB"/>
        </w:rPr>
        <w:t xml:space="preserve"> </w:t>
      </w:r>
      <w:r w:rsidR="002B1679" w:rsidRPr="002B1679">
        <w:rPr>
          <w:lang w:val="en-GB"/>
        </w:rPr>
        <w:t xml:space="preserve">The European Model Clauses developed by the Responsible Contracting Project (RCP) go far beyond the CSDDD and should not serve as a basis for Article 18 model contract clauses. These should instead be developed with </w:t>
      </w:r>
      <w:r w:rsidR="004810EF">
        <w:rPr>
          <w:lang w:val="en-GB"/>
        </w:rPr>
        <w:t xml:space="preserve">businesses, especially </w:t>
      </w:r>
      <w:r w:rsidR="002B1679" w:rsidRPr="002B1679">
        <w:rPr>
          <w:lang w:val="en-GB"/>
        </w:rPr>
        <w:t>SMEs</w:t>
      </w:r>
      <w:r w:rsidR="004810EF">
        <w:rPr>
          <w:lang w:val="en-GB"/>
        </w:rPr>
        <w:t>,</w:t>
      </w:r>
      <w:r w:rsidR="002B1679" w:rsidRPr="002B1679">
        <w:rPr>
          <w:lang w:val="en-GB"/>
        </w:rPr>
        <w:t xml:space="preserve"> and experienced legal practitioners to ensure practical workability.</w:t>
      </w:r>
    </w:p>
    <w:p w14:paraId="5F6FE5F4" w14:textId="77777777" w:rsidR="00492CAE" w:rsidRPr="0054275B" w:rsidRDefault="00492CAE" w:rsidP="00492CAE">
      <w:pPr>
        <w:rPr>
          <w:lang w:val="en-GB"/>
        </w:rPr>
      </w:pPr>
    </w:p>
    <w:p w14:paraId="1F2E006B" w14:textId="2896E8DF" w:rsidR="00492CAE" w:rsidRPr="0054275B" w:rsidRDefault="00492CAE" w:rsidP="00DE6D0D">
      <w:pPr>
        <w:pStyle w:val="Listenabsatz"/>
        <w:numPr>
          <w:ilvl w:val="0"/>
          <w:numId w:val="1"/>
        </w:numPr>
        <w:rPr>
          <w:b/>
          <w:bCs/>
          <w:lang w:val="en-GB"/>
        </w:rPr>
      </w:pPr>
      <w:r w:rsidRPr="0054275B">
        <w:rPr>
          <w:b/>
          <w:bCs/>
          <w:lang w:val="en-GB"/>
        </w:rPr>
        <w:t xml:space="preserve">Publish the </w:t>
      </w:r>
      <w:r w:rsidR="00905A7F">
        <w:rPr>
          <w:b/>
          <w:bCs/>
          <w:lang w:val="en-GB"/>
        </w:rPr>
        <w:t>guidelines</w:t>
      </w:r>
      <w:r w:rsidRPr="0054275B">
        <w:rPr>
          <w:b/>
          <w:bCs/>
          <w:lang w:val="en-GB"/>
        </w:rPr>
        <w:t xml:space="preserve"> </w:t>
      </w:r>
      <w:r w:rsidR="00E97D96">
        <w:rPr>
          <w:b/>
          <w:bCs/>
          <w:lang w:val="en-GB"/>
        </w:rPr>
        <w:t>in d</w:t>
      </w:r>
      <w:r w:rsidR="00187838">
        <w:rPr>
          <w:b/>
          <w:bCs/>
          <w:lang w:val="en-GB"/>
        </w:rPr>
        <w:t>ue time</w:t>
      </w:r>
      <w:r w:rsidR="00E97D96" w:rsidRPr="0054275B">
        <w:rPr>
          <w:b/>
          <w:bCs/>
          <w:lang w:val="en-GB"/>
        </w:rPr>
        <w:t xml:space="preserve"> </w:t>
      </w:r>
      <w:r w:rsidRPr="0054275B">
        <w:rPr>
          <w:b/>
          <w:bCs/>
          <w:lang w:val="en-GB"/>
        </w:rPr>
        <w:t xml:space="preserve">and </w:t>
      </w:r>
      <w:r w:rsidR="005E0297">
        <w:rPr>
          <w:b/>
          <w:bCs/>
          <w:lang w:val="en-GB"/>
        </w:rPr>
        <w:t>con</w:t>
      </w:r>
      <w:r w:rsidR="00676EA2">
        <w:rPr>
          <w:b/>
          <w:bCs/>
          <w:lang w:val="en-GB"/>
        </w:rPr>
        <w:t>tribute</w:t>
      </w:r>
      <w:r w:rsidR="00FE5A3E">
        <w:rPr>
          <w:b/>
          <w:bCs/>
          <w:lang w:val="en-GB"/>
        </w:rPr>
        <w:t xml:space="preserve"> to a</w:t>
      </w:r>
      <w:r w:rsidR="005E0297" w:rsidRPr="0054275B">
        <w:rPr>
          <w:b/>
          <w:bCs/>
          <w:lang w:val="en-GB"/>
        </w:rPr>
        <w:t xml:space="preserve"> </w:t>
      </w:r>
      <w:r w:rsidRPr="0054275B">
        <w:rPr>
          <w:b/>
          <w:bCs/>
          <w:lang w:val="en-GB"/>
        </w:rPr>
        <w:t>harmonised implementation</w:t>
      </w:r>
    </w:p>
    <w:p w14:paraId="02ECCCFF" w14:textId="492F96C8" w:rsidR="00B525AE" w:rsidRDefault="00492CAE" w:rsidP="0058196A">
      <w:pPr>
        <w:rPr>
          <w:lang w:val="en-GB"/>
        </w:rPr>
      </w:pPr>
      <w:r w:rsidRPr="0054275B">
        <w:rPr>
          <w:lang w:val="en-GB"/>
        </w:rPr>
        <w:t xml:space="preserve">The Commission should publish the </w:t>
      </w:r>
      <w:r w:rsidR="00F104DB">
        <w:rPr>
          <w:lang w:val="en-GB"/>
        </w:rPr>
        <w:t>guidelines</w:t>
      </w:r>
      <w:r w:rsidRPr="0054275B">
        <w:rPr>
          <w:lang w:val="en-GB"/>
        </w:rPr>
        <w:t xml:space="preserve"> </w:t>
      </w:r>
      <w:r w:rsidR="006A2F00">
        <w:rPr>
          <w:lang w:val="en-GB"/>
        </w:rPr>
        <w:t xml:space="preserve">in </w:t>
      </w:r>
      <w:r w:rsidR="007A5342">
        <w:rPr>
          <w:lang w:val="en-GB"/>
        </w:rPr>
        <w:t>due time</w:t>
      </w:r>
      <w:r w:rsidRPr="0054275B">
        <w:rPr>
          <w:lang w:val="en-GB"/>
        </w:rPr>
        <w:t>.</w:t>
      </w:r>
      <w:r w:rsidR="00467F12">
        <w:rPr>
          <w:lang w:val="en-GB"/>
        </w:rPr>
        <w:t xml:space="preserve"> </w:t>
      </w:r>
      <w:r w:rsidRPr="0054275B">
        <w:rPr>
          <w:lang w:val="en-GB"/>
        </w:rPr>
        <w:t>More importantly, Member States need a consistent and harmonised approach when transposing the Directive. Diverging national approaches would create legal uncertainty and increase compliance costs across the internal market.</w:t>
      </w:r>
      <w:r w:rsidR="00A730CC">
        <w:rPr>
          <w:lang w:val="en-GB"/>
        </w:rPr>
        <w:t xml:space="preserve"> </w:t>
      </w:r>
      <w:r w:rsidR="004547EE">
        <w:rPr>
          <w:lang w:val="en-GB"/>
        </w:rPr>
        <w:t>W</w:t>
      </w:r>
      <w:r w:rsidR="008741BA">
        <w:rPr>
          <w:lang w:val="en-GB"/>
        </w:rPr>
        <w:t>orking</w:t>
      </w:r>
      <w:r w:rsidR="006F6362">
        <w:rPr>
          <w:lang w:val="en-GB"/>
        </w:rPr>
        <w:t xml:space="preserve"> tow</w:t>
      </w:r>
      <w:r w:rsidR="00824748">
        <w:rPr>
          <w:lang w:val="en-GB"/>
        </w:rPr>
        <w:t>ard</w:t>
      </w:r>
      <w:r w:rsidR="008F730B">
        <w:rPr>
          <w:lang w:val="en-GB"/>
        </w:rPr>
        <w:t xml:space="preserve">s </w:t>
      </w:r>
      <w:r w:rsidR="00566E8B">
        <w:rPr>
          <w:lang w:val="en-GB"/>
        </w:rPr>
        <w:t>h</w:t>
      </w:r>
      <w:r w:rsidRPr="0054275B">
        <w:rPr>
          <w:lang w:val="en-GB"/>
        </w:rPr>
        <w:t xml:space="preserve">armonisation must remain </w:t>
      </w:r>
      <w:r w:rsidR="009E7ACE">
        <w:rPr>
          <w:lang w:val="en-GB"/>
        </w:rPr>
        <w:t>a</w:t>
      </w:r>
      <w:r w:rsidR="009E7ACE" w:rsidRPr="0054275B">
        <w:rPr>
          <w:lang w:val="en-GB"/>
        </w:rPr>
        <w:t xml:space="preserve"> </w:t>
      </w:r>
      <w:r w:rsidRPr="0054275B">
        <w:rPr>
          <w:lang w:val="en-GB"/>
        </w:rPr>
        <w:t>priority.</w:t>
      </w:r>
    </w:p>
    <w:p w14:paraId="68803874" w14:textId="7039BC40" w:rsidR="00B54923" w:rsidRDefault="00B54923" w:rsidP="00492CAE">
      <w:pPr>
        <w:rPr>
          <w:lang w:val="en-GB"/>
        </w:rPr>
      </w:pPr>
    </w:p>
    <w:p w14:paraId="069CBB02" w14:textId="76F23C75" w:rsidR="00492CAE" w:rsidRPr="0054275B" w:rsidRDefault="00B54923" w:rsidP="0058196A">
      <w:pPr>
        <w:rPr>
          <w:lang w:val="en-GB"/>
        </w:rPr>
      </w:pPr>
      <w:r>
        <w:rPr>
          <w:lang w:val="en-GB"/>
        </w:rPr>
        <w:t xml:space="preserve">Related reading: </w:t>
      </w:r>
      <w:hyperlink r:id="rId8" w:history="1">
        <w:r>
          <w:rPr>
            <w:rStyle w:val="Hyperlink"/>
            <w:lang w:val="en-GB"/>
          </w:rPr>
          <w:t>Business at OECD (</w:t>
        </w:r>
        <w:r w:rsidRPr="007F6563">
          <w:rPr>
            <w:rStyle w:val="Hyperlink"/>
            <w:lang w:val="en-GB"/>
          </w:rPr>
          <w:t>BIAC</w:t>
        </w:r>
        <w:r>
          <w:rPr>
            <w:rStyle w:val="Hyperlink"/>
            <w:lang w:val="en-GB"/>
          </w:rPr>
          <w:t>)</w:t>
        </w:r>
        <w:r w:rsidRPr="007F6563">
          <w:rPr>
            <w:rStyle w:val="Hyperlink"/>
            <w:lang w:val="en-GB"/>
          </w:rPr>
          <w:t xml:space="preserve"> paper</w:t>
        </w:r>
      </w:hyperlink>
      <w:r w:rsidRPr="007F6563">
        <w:rPr>
          <w:lang w:val="en-GB"/>
        </w:rPr>
        <w:t xml:space="preserve"> on </w:t>
      </w:r>
      <w:r>
        <w:rPr>
          <w:lang w:val="en-GB"/>
        </w:rPr>
        <w:t>“T</w:t>
      </w:r>
      <w:r w:rsidRPr="007F6563">
        <w:rPr>
          <w:lang w:val="en-GB"/>
        </w:rPr>
        <w:t xml:space="preserve">en lessons learned from </w:t>
      </w:r>
      <w:r>
        <w:rPr>
          <w:lang w:val="en-GB"/>
        </w:rPr>
        <w:t>50</w:t>
      </w:r>
      <w:r w:rsidRPr="007F6563">
        <w:rPr>
          <w:lang w:val="en-GB"/>
        </w:rPr>
        <w:t xml:space="preserve"> years of </w:t>
      </w:r>
      <w:r>
        <w:rPr>
          <w:lang w:val="en-GB"/>
        </w:rPr>
        <w:t>R</w:t>
      </w:r>
      <w:r w:rsidRPr="007F6563">
        <w:rPr>
          <w:lang w:val="en-GB"/>
        </w:rPr>
        <w:t xml:space="preserve">esponsible </w:t>
      </w:r>
      <w:r>
        <w:rPr>
          <w:lang w:val="en-GB"/>
        </w:rPr>
        <w:t>B</w:t>
      </w:r>
      <w:r w:rsidRPr="007F6563">
        <w:rPr>
          <w:lang w:val="en-GB"/>
        </w:rPr>
        <w:t xml:space="preserve">usiness </w:t>
      </w:r>
      <w:r>
        <w:rPr>
          <w:lang w:val="en-GB"/>
        </w:rPr>
        <w:t>C</w:t>
      </w:r>
      <w:r w:rsidRPr="007F6563">
        <w:rPr>
          <w:lang w:val="en-GB"/>
        </w:rPr>
        <w:t>onduct</w:t>
      </w:r>
      <w:r>
        <w:rPr>
          <w:lang w:val="en-GB"/>
        </w:rPr>
        <w:t>”</w:t>
      </w:r>
      <w:r w:rsidR="00B525AE">
        <w:rPr>
          <w:lang w:val="en-GB"/>
        </w:rPr>
        <w:t>.</w:t>
      </w:r>
    </w:p>
    <w:sectPr w:rsidR="00492CAE" w:rsidRPr="0054275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2AB56C" w14:textId="77777777" w:rsidR="00AA1273" w:rsidRDefault="00AA1273" w:rsidP="00F07C21">
      <w:r>
        <w:separator/>
      </w:r>
    </w:p>
  </w:endnote>
  <w:endnote w:type="continuationSeparator" w:id="0">
    <w:p w14:paraId="3699B265" w14:textId="77777777" w:rsidR="00AA1273" w:rsidRDefault="00AA1273" w:rsidP="00F07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D7536" w14:textId="77777777" w:rsidR="00A63189" w:rsidRDefault="00A6318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03A3D" w14:textId="77777777" w:rsidR="00A63189" w:rsidRDefault="00A6318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E986F" w14:textId="77777777" w:rsidR="00A63189" w:rsidRDefault="00A6318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C1A9D" w14:textId="77777777" w:rsidR="00AA1273" w:rsidRDefault="00AA1273" w:rsidP="00F07C21">
      <w:r>
        <w:separator/>
      </w:r>
    </w:p>
  </w:footnote>
  <w:footnote w:type="continuationSeparator" w:id="0">
    <w:p w14:paraId="6C1902F9" w14:textId="77777777" w:rsidR="00AA1273" w:rsidRDefault="00AA1273" w:rsidP="00F07C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2CFA1" w14:textId="3024D4E2" w:rsidR="00A63189" w:rsidRDefault="00A6318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AC42E" w14:textId="1007BCD8" w:rsidR="00A63189" w:rsidRDefault="00A6318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CEB22" w14:textId="71D5BF9D" w:rsidR="00A63189" w:rsidRDefault="00A6318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26203"/>
    <w:multiLevelType w:val="hybridMultilevel"/>
    <w:tmpl w:val="49F0EF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A108F1"/>
    <w:multiLevelType w:val="hybridMultilevel"/>
    <w:tmpl w:val="49F0EFE4"/>
    <w:lvl w:ilvl="0" w:tplc="85C0BA1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899237">
    <w:abstractNumId w:val="1"/>
  </w:num>
  <w:num w:numId="2" w16cid:durableId="17590157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151"/>
    <w:rsid w:val="00000360"/>
    <w:rsid w:val="0000499E"/>
    <w:rsid w:val="00005F70"/>
    <w:rsid w:val="00012EED"/>
    <w:rsid w:val="000146B0"/>
    <w:rsid w:val="0002199A"/>
    <w:rsid w:val="00037B82"/>
    <w:rsid w:val="00043E48"/>
    <w:rsid w:val="00044360"/>
    <w:rsid w:val="000663AE"/>
    <w:rsid w:val="000713F4"/>
    <w:rsid w:val="00075AD8"/>
    <w:rsid w:val="000836F7"/>
    <w:rsid w:val="000866E9"/>
    <w:rsid w:val="000A00DB"/>
    <w:rsid w:val="000A46B4"/>
    <w:rsid w:val="000A7A81"/>
    <w:rsid w:val="000B40BF"/>
    <w:rsid w:val="000B65A2"/>
    <w:rsid w:val="000C3BB7"/>
    <w:rsid w:val="001105F2"/>
    <w:rsid w:val="00116B12"/>
    <w:rsid w:val="001210D0"/>
    <w:rsid w:val="00145CCD"/>
    <w:rsid w:val="001610ED"/>
    <w:rsid w:val="00164F87"/>
    <w:rsid w:val="00175B54"/>
    <w:rsid w:val="00177B97"/>
    <w:rsid w:val="00187838"/>
    <w:rsid w:val="00190C8B"/>
    <w:rsid w:val="00193727"/>
    <w:rsid w:val="001A0C07"/>
    <w:rsid w:val="001A145E"/>
    <w:rsid w:val="001A7E85"/>
    <w:rsid w:val="001B6F9D"/>
    <w:rsid w:val="001C6F03"/>
    <w:rsid w:val="001D155F"/>
    <w:rsid w:val="001E5016"/>
    <w:rsid w:val="001F0768"/>
    <w:rsid w:val="0020434A"/>
    <w:rsid w:val="00222F16"/>
    <w:rsid w:val="002541F8"/>
    <w:rsid w:val="00256925"/>
    <w:rsid w:val="002627F9"/>
    <w:rsid w:val="00274D27"/>
    <w:rsid w:val="00284C8F"/>
    <w:rsid w:val="002A5F2C"/>
    <w:rsid w:val="002B1679"/>
    <w:rsid w:val="002C0999"/>
    <w:rsid w:val="002D0276"/>
    <w:rsid w:val="002D0AB4"/>
    <w:rsid w:val="002D73A3"/>
    <w:rsid w:val="002E2B29"/>
    <w:rsid w:val="002E4E4C"/>
    <w:rsid w:val="00310E64"/>
    <w:rsid w:val="00316A62"/>
    <w:rsid w:val="00316F7A"/>
    <w:rsid w:val="00327AD4"/>
    <w:rsid w:val="00332112"/>
    <w:rsid w:val="0035666F"/>
    <w:rsid w:val="00357F2A"/>
    <w:rsid w:val="00360064"/>
    <w:rsid w:val="00371ADE"/>
    <w:rsid w:val="00372FAB"/>
    <w:rsid w:val="0038645C"/>
    <w:rsid w:val="00392B96"/>
    <w:rsid w:val="00393D07"/>
    <w:rsid w:val="003B6703"/>
    <w:rsid w:val="003C4074"/>
    <w:rsid w:val="003C7CAB"/>
    <w:rsid w:val="003E212D"/>
    <w:rsid w:val="003E29B6"/>
    <w:rsid w:val="003F4FA6"/>
    <w:rsid w:val="00415DEA"/>
    <w:rsid w:val="004165F9"/>
    <w:rsid w:val="0043446F"/>
    <w:rsid w:val="00445E2F"/>
    <w:rsid w:val="004547EE"/>
    <w:rsid w:val="00454DF7"/>
    <w:rsid w:val="00456508"/>
    <w:rsid w:val="00467F12"/>
    <w:rsid w:val="004772A9"/>
    <w:rsid w:val="004810EF"/>
    <w:rsid w:val="00492CAE"/>
    <w:rsid w:val="0049336B"/>
    <w:rsid w:val="004B1B58"/>
    <w:rsid w:val="004C75A6"/>
    <w:rsid w:val="004D53CC"/>
    <w:rsid w:val="004F4CD3"/>
    <w:rsid w:val="00510383"/>
    <w:rsid w:val="00512D10"/>
    <w:rsid w:val="00516954"/>
    <w:rsid w:val="00525322"/>
    <w:rsid w:val="00540E3D"/>
    <w:rsid w:val="0054275B"/>
    <w:rsid w:val="00550103"/>
    <w:rsid w:val="00566E8B"/>
    <w:rsid w:val="00570A97"/>
    <w:rsid w:val="00573B5A"/>
    <w:rsid w:val="00577205"/>
    <w:rsid w:val="0058196A"/>
    <w:rsid w:val="00583951"/>
    <w:rsid w:val="00591A1B"/>
    <w:rsid w:val="005C1750"/>
    <w:rsid w:val="005C6110"/>
    <w:rsid w:val="005E0297"/>
    <w:rsid w:val="006056D4"/>
    <w:rsid w:val="00622E6A"/>
    <w:rsid w:val="00627745"/>
    <w:rsid w:val="0063269D"/>
    <w:rsid w:val="0064322B"/>
    <w:rsid w:val="00643D73"/>
    <w:rsid w:val="006447CE"/>
    <w:rsid w:val="0065024D"/>
    <w:rsid w:val="006677C7"/>
    <w:rsid w:val="006743F8"/>
    <w:rsid w:val="00676EA2"/>
    <w:rsid w:val="00696CAC"/>
    <w:rsid w:val="006A2F00"/>
    <w:rsid w:val="006A5553"/>
    <w:rsid w:val="006B7F91"/>
    <w:rsid w:val="006D5359"/>
    <w:rsid w:val="006E19C4"/>
    <w:rsid w:val="006E6954"/>
    <w:rsid w:val="006E6E3E"/>
    <w:rsid w:val="006F6362"/>
    <w:rsid w:val="00720776"/>
    <w:rsid w:val="007451A5"/>
    <w:rsid w:val="00750B4B"/>
    <w:rsid w:val="00753E43"/>
    <w:rsid w:val="00756221"/>
    <w:rsid w:val="00763D3F"/>
    <w:rsid w:val="00764BCC"/>
    <w:rsid w:val="00774329"/>
    <w:rsid w:val="007758B3"/>
    <w:rsid w:val="007925CF"/>
    <w:rsid w:val="007971C1"/>
    <w:rsid w:val="007A2061"/>
    <w:rsid w:val="007A5342"/>
    <w:rsid w:val="007B6F64"/>
    <w:rsid w:val="007D0B20"/>
    <w:rsid w:val="007D536A"/>
    <w:rsid w:val="007E183B"/>
    <w:rsid w:val="007F6563"/>
    <w:rsid w:val="007F6C31"/>
    <w:rsid w:val="00804D63"/>
    <w:rsid w:val="00824748"/>
    <w:rsid w:val="008259F6"/>
    <w:rsid w:val="00836571"/>
    <w:rsid w:val="00836DE4"/>
    <w:rsid w:val="008477E6"/>
    <w:rsid w:val="00852FD8"/>
    <w:rsid w:val="008741BA"/>
    <w:rsid w:val="008870D4"/>
    <w:rsid w:val="008B7033"/>
    <w:rsid w:val="008C664D"/>
    <w:rsid w:val="008F730B"/>
    <w:rsid w:val="009013FD"/>
    <w:rsid w:val="00905A7F"/>
    <w:rsid w:val="00907A9C"/>
    <w:rsid w:val="00920395"/>
    <w:rsid w:val="00921A07"/>
    <w:rsid w:val="009251BA"/>
    <w:rsid w:val="00931CF1"/>
    <w:rsid w:val="00931EFE"/>
    <w:rsid w:val="009349A3"/>
    <w:rsid w:val="009376A4"/>
    <w:rsid w:val="0094005B"/>
    <w:rsid w:val="00950015"/>
    <w:rsid w:val="00963CE4"/>
    <w:rsid w:val="0098634E"/>
    <w:rsid w:val="00993179"/>
    <w:rsid w:val="009E7ACE"/>
    <w:rsid w:val="009F7BEC"/>
    <w:rsid w:val="00A03C48"/>
    <w:rsid w:val="00A05142"/>
    <w:rsid w:val="00A2573F"/>
    <w:rsid w:val="00A315B0"/>
    <w:rsid w:val="00A4349C"/>
    <w:rsid w:val="00A47EE2"/>
    <w:rsid w:val="00A63189"/>
    <w:rsid w:val="00A730CC"/>
    <w:rsid w:val="00A741D0"/>
    <w:rsid w:val="00A746A9"/>
    <w:rsid w:val="00A76762"/>
    <w:rsid w:val="00A81DFB"/>
    <w:rsid w:val="00A8695F"/>
    <w:rsid w:val="00A91663"/>
    <w:rsid w:val="00A95859"/>
    <w:rsid w:val="00AA1273"/>
    <w:rsid w:val="00AA319C"/>
    <w:rsid w:val="00AA6AA6"/>
    <w:rsid w:val="00AD4628"/>
    <w:rsid w:val="00B06F21"/>
    <w:rsid w:val="00B11AB9"/>
    <w:rsid w:val="00B235D9"/>
    <w:rsid w:val="00B23815"/>
    <w:rsid w:val="00B4366B"/>
    <w:rsid w:val="00B45393"/>
    <w:rsid w:val="00B525AE"/>
    <w:rsid w:val="00B54923"/>
    <w:rsid w:val="00B84585"/>
    <w:rsid w:val="00B85CC5"/>
    <w:rsid w:val="00B9606B"/>
    <w:rsid w:val="00BA3529"/>
    <w:rsid w:val="00BC1115"/>
    <w:rsid w:val="00BD1AB3"/>
    <w:rsid w:val="00BD6ACC"/>
    <w:rsid w:val="00BD74D4"/>
    <w:rsid w:val="00BE44CA"/>
    <w:rsid w:val="00BF54B2"/>
    <w:rsid w:val="00C001CD"/>
    <w:rsid w:val="00C321B0"/>
    <w:rsid w:val="00C5621B"/>
    <w:rsid w:val="00C5724F"/>
    <w:rsid w:val="00C602E7"/>
    <w:rsid w:val="00C9672C"/>
    <w:rsid w:val="00CC4BA6"/>
    <w:rsid w:val="00CD31B1"/>
    <w:rsid w:val="00CE464B"/>
    <w:rsid w:val="00D06948"/>
    <w:rsid w:val="00D07764"/>
    <w:rsid w:val="00D1061F"/>
    <w:rsid w:val="00D15486"/>
    <w:rsid w:val="00D23E62"/>
    <w:rsid w:val="00D37776"/>
    <w:rsid w:val="00D41DA5"/>
    <w:rsid w:val="00D430BF"/>
    <w:rsid w:val="00D437CB"/>
    <w:rsid w:val="00D47B66"/>
    <w:rsid w:val="00D53398"/>
    <w:rsid w:val="00D60BBB"/>
    <w:rsid w:val="00D71262"/>
    <w:rsid w:val="00D71576"/>
    <w:rsid w:val="00D72298"/>
    <w:rsid w:val="00D75A7C"/>
    <w:rsid w:val="00D83B7F"/>
    <w:rsid w:val="00D9001E"/>
    <w:rsid w:val="00DA70DA"/>
    <w:rsid w:val="00DE07F2"/>
    <w:rsid w:val="00DE4F3F"/>
    <w:rsid w:val="00DE6D0D"/>
    <w:rsid w:val="00E00BC8"/>
    <w:rsid w:val="00E075F0"/>
    <w:rsid w:val="00E127B5"/>
    <w:rsid w:val="00E14CCD"/>
    <w:rsid w:val="00E27D8E"/>
    <w:rsid w:val="00E34A42"/>
    <w:rsid w:val="00E522A4"/>
    <w:rsid w:val="00E66B77"/>
    <w:rsid w:val="00E848D8"/>
    <w:rsid w:val="00E91DF4"/>
    <w:rsid w:val="00E9491C"/>
    <w:rsid w:val="00E97D96"/>
    <w:rsid w:val="00EA2151"/>
    <w:rsid w:val="00EB3DB4"/>
    <w:rsid w:val="00ED7B3D"/>
    <w:rsid w:val="00EE36D8"/>
    <w:rsid w:val="00F00CD1"/>
    <w:rsid w:val="00F04B90"/>
    <w:rsid w:val="00F068E9"/>
    <w:rsid w:val="00F07C21"/>
    <w:rsid w:val="00F104DB"/>
    <w:rsid w:val="00F12AB1"/>
    <w:rsid w:val="00F22EBB"/>
    <w:rsid w:val="00F43425"/>
    <w:rsid w:val="00F52E31"/>
    <w:rsid w:val="00F64D2D"/>
    <w:rsid w:val="00F64F9C"/>
    <w:rsid w:val="00F745D4"/>
    <w:rsid w:val="00F86901"/>
    <w:rsid w:val="00F93B67"/>
    <w:rsid w:val="00FA2ADB"/>
    <w:rsid w:val="00FA714C"/>
    <w:rsid w:val="00FC0208"/>
    <w:rsid w:val="00FC050D"/>
    <w:rsid w:val="00FC18C2"/>
    <w:rsid w:val="00FC2B78"/>
    <w:rsid w:val="00FD0846"/>
    <w:rsid w:val="00FD0EC3"/>
    <w:rsid w:val="00FE1264"/>
    <w:rsid w:val="00FE28EF"/>
    <w:rsid w:val="00FE5A3E"/>
    <w:rsid w:val="00FF37A2"/>
    <w:rsid w:val="7B641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AE4AD7"/>
  <w15:chartTrackingRefBased/>
  <w15:docId w15:val="{92238F0E-3760-4577-AAC8-A056F6FE3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kern w:val="2"/>
        <w:sz w:val="22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rsid w:val="00EA21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rsid w:val="00EA21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rsid w:val="00EA215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rsid w:val="00EA215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rsid w:val="00EA215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rsid w:val="00EA215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uiPriority w:val="9"/>
    <w:semiHidden/>
    <w:unhideWhenUsed/>
    <w:qFormat/>
    <w:rsid w:val="00EA215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uiPriority w:val="9"/>
    <w:semiHidden/>
    <w:unhideWhenUsed/>
    <w:qFormat/>
    <w:rsid w:val="00EA215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uiPriority w:val="9"/>
    <w:semiHidden/>
    <w:unhideWhenUsed/>
    <w:qFormat/>
    <w:rsid w:val="00EA215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A215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A2151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A2151"/>
    <w:rPr>
      <w:b/>
      <w:bCs/>
      <w:smallCaps/>
      <w:color w:val="0F4761" w:themeColor="accent1" w:themeShade="BF"/>
      <w:spacing w:val="5"/>
    </w:rPr>
  </w:style>
  <w:style w:type="paragraph" w:styleId="berarbeitung">
    <w:name w:val="Revision"/>
    <w:hidden/>
    <w:uiPriority w:val="99"/>
    <w:semiHidden/>
    <w:rsid w:val="00905A7F"/>
  </w:style>
  <w:style w:type="character" w:customStyle="1" w:styleId="berschrift1Zchn">
    <w:name w:val="Überschrift 1 Zchn"/>
    <w:basedOn w:val="Absatz-Standardschriftart"/>
    <w:uiPriority w:val="9"/>
    <w:rsid w:val="00037B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uiPriority w:val="9"/>
    <w:semiHidden/>
    <w:rsid w:val="00037B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semiHidden/>
    <w:rsid w:val="00037B82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037B82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037B82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037B82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uiPriority w:val="9"/>
    <w:semiHidden/>
    <w:rsid w:val="00037B8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uiPriority w:val="9"/>
    <w:semiHidden/>
    <w:rsid w:val="00037B82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uiPriority w:val="9"/>
    <w:semiHidden/>
    <w:rsid w:val="00037B82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037B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037B8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ZitatZchn">
    <w:name w:val="Zitat Zchn"/>
    <w:basedOn w:val="Absatz-Standardschriftart"/>
    <w:uiPriority w:val="29"/>
    <w:rsid w:val="00037B82"/>
    <w:rPr>
      <w:i/>
      <w:iCs/>
      <w:color w:val="404040" w:themeColor="text1" w:themeTint="BF"/>
    </w:rPr>
  </w:style>
  <w:style w:type="character" w:customStyle="1" w:styleId="IntensivesZitatZchn">
    <w:name w:val="Intensives Zitat Zchn"/>
    <w:basedOn w:val="Absatz-Standardschriftart"/>
    <w:uiPriority w:val="30"/>
    <w:rsid w:val="00037B82"/>
    <w:rPr>
      <w:i/>
      <w:iCs/>
      <w:color w:val="0F4761" w:themeColor="accent1" w:themeShade="BF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64D2D"/>
    <w:rPr>
      <w:sz w:val="16"/>
      <w:szCs w:val="16"/>
    </w:rPr>
  </w:style>
  <w:style w:type="paragraph" w:styleId="Kommentartext">
    <w:name w:val="annotation text"/>
    <w:basedOn w:val="Standard"/>
    <w:link w:val="KommentartextZchn1"/>
    <w:uiPriority w:val="99"/>
    <w:unhideWhenUsed/>
    <w:rPr>
      <w:sz w:val="20"/>
      <w:szCs w:val="20"/>
    </w:rPr>
  </w:style>
  <w:style w:type="character" w:customStyle="1" w:styleId="KommentartextZchn">
    <w:name w:val="Kommentartext Zchn"/>
    <w:basedOn w:val="Absatz-Standardschriftart"/>
    <w:uiPriority w:val="99"/>
    <w:rsid w:val="00F64D2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E6D0D"/>
    <w:rPr>
      <w:b/>
      <w:bCs/>
    </w:rPr>
  </w:style>
  <w:style w:type="character" w:customStyle="1" w:styleId="KommentarthemaZchn">
    <w:name w:val="Kommentarthema Zchn"/>
    <w:basedOn w:val="KommentartextZchn1"/>
    <w:link w:val="Kommentarthema"/>
    <w:uiPriority w:val="99"/>
    <w:semiHidden/>
    <w:rsid w:val="00DE6D0D"/>
    <w:rPr>
      <w:b/>
      <w:bCs/>
      <w:sz w:val="20"/>
      <w:szCs w:val="20"/>
    </w:rPr>
  </w:style>
  <w:style w:type="character" w:customStyle="1" w:styleId="Kommentarzeichen1">
    <w:name w:val="Kommentarzeichen1"/>
    <w:basedOn w:val="Absatz-Standardschriftart"/>
    <w:uiPriority w:val="99"/>
    <w:semiHidden/>
    <w:unhideWhenUsed/>
    <w:rsid w:val="006677C7"/>
    <w:rPr>
      <w:sz w:val="16"/>
      <w:szCs w:val="16"/>
    </w:rPr>
  </w:style>
  <w:style w:type="paragraph" w:customStyle="1" w:styleId="Kommentartext1">
    <w:name w:val="Kommentartext1"/>
    <w:basedOn w:val="Standard"/>
    <w:uiPriority w:val="99"/>
    <w:unhideWhenUsed/>
    <w:rsid w:val="006677C7"/>
    <w:rPr>
      <w:sz w:val="20"/>
      <w:szCs w:val="20"/>
    </w:rPr>
  </w:style>
  <w:style w:type="character" w:customStyle="1" w:styleId="KommentartextZchn1">
    <w:name w:val="Kommentartext Zchn1"/>
    <w:basedOn w:val="Absatz-Standardschriftart"/>
    <w:link w:val="Kommentartext"/>
    <w:uiPriority w:val="99"/>
    <w:rsid w:val="006677C7"/>
    <w:rPr>
      <w:sz w:val="20"/>
      <w:szCs w:val="20"/>
    </w:rPr>
  </w:style>
  <w:style w:type="paragraph" w:styleId="Kopfzeile">
    <w:name w:val="header"/>
    <w:basedOn w:val="Standard"/>
    <w:link w:val="KopfzeileZchn"/>
    <w:uiPriority w:val="99"/>
    <w:unhideWhenUsed/>
    <w:rsid w:val="00F07C2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07C21"/>
  </w:style>
  <w:style w:type="paragraph" w:styleId="Fuzeile">
    <w:name w:val="footer"/>
    <w:basedOn w:val="Standard"/>
    <w:link w:val="FuzeileZchn"/>
    <w:uiPriority w:val="99"/>
    <w:unhideWhenUsed/>
    <w:rsid w:val="00F07C2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07C21"/>
  </w:style>
  <w:style w:type="table" w:customStyle="1" w:styleId="TableNormal1">
    <w:name w:val="Table Normal1"/>
    <w:uiPriority w:val="99"/>
    <w:semiHidden/>
    <w:unhideWhenUsed/>
    <w:rsid w:val="00643D73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BC1115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C11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usinessatoecd.org/newsroom/recent-news/business-shares-ten-lessons-learned-from-fifty-years-of-responsible-business-conduct-oecd-global-forum-on-responsible-business-conduct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0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A23AFF760B79D4795F03A32B00FF3C9" ma:contentTypeVersion="41" ma:contentTypeDescription="Ein neues Dokument erstellen." ma:contentTypeScope="" ma:versionID="4936884bca6875d91677ba1bbf8d3d2d">
  <xsd:schema xmlns:xsd="http://www.w3.org/2001/XMLSchema" xmlns:xs="http://www.w3.org/2001/XMLSchema" xmlns:p="http://schemas.microsoft.com/office/2006/metadata/properties" xmlns:ns1="3e708fd5-b208-40c2-9d3c-825d4a614a50" xmlns:ns3="2d8cc1df-57ac-4aac-b7f7-0f4de7d531aa" xmlns:ns4="3c9312a4-6b9f-419e-824a-bc126e7c7d45" targetNamespace="http://schemas.microsoft.com/office/2006/metadata/properties" ma:root="true" ma:fieldsID="76000fbc75a29d4ff3025cc562b19fe3" ns1:_="" ns3:_="" ns4:_="">
    <xsd:import namespace="3e708fd5-b208-40c2-9d3c-825d4a614a50"/>
    <xsd:import namespace="2d8cc1df-57ac-4aac-b7f7-0f4de7d531aa"/>
    <xsd:import namespace="3c9312a4-6b9f-419e-824a-bc126e7c7d45"/>
    <xsd:element name="properties">
      <xsd:complexType>
        <xsd:sequence>
          <xsd:element name="documentManagement">
            <xsd:complexType>
              <xsd:all>
                <xsd:element ref="ns1:BDAAbstract" minOccurs="0"/>
                <xsd:element ref="ns1:BDAAPDisplay" minOccurs="0"/>
                <xsd:element ref="ns1:BDAGroups" minOccurs="0"/>
                <xsd:element ref="ns1:BDARSCategory"/>
                <xsd:element ref="ns1:BDARSCatVerantwortung" minOccurs="0"/>
                <xsd:element ref="ns1:BDASubject" minOccurs="0"/>
                <xsd:element ref="ns1:CUSBereich" minOccurs="0"/>
                <xsd:element ref="ns1:CustomerKeywords1" minOccurs="0"/>
                <xsd:element ref="ns1:DBType" minOccurs="0"/>
                <xsd:element ref="ns1:MAAbstract" minOccurs="0"/>
                <xsd:element ref="ns1:MAKategorie" minOccurs="0"/>
                <xsd:element ref="ns1:MASubject" minOccurs="0"/>
                <xsd:element ref="ns1:ParentRS" minOccurs="0"/>
                <xsd:element ref="ns1:RSAnschreibenName" minOccurs="0"/>
                <xsd:element ref="ns1:RSDate" minOccurs="0"/>
                <xsd:element ref="ns1:RSNr" minOccurs="0"/>
                <xsd:element ref="ns1:WebReaders" minOccurs="0"/>
                <xsd:element ref="ns1:WebReadersAlt" minOccurs="0"/>
                <xsd:element ref="ns1:j94038fb304d42afa40d3caaadf10932" minOccurs="0"/>
                <xsd:element ref="ns3:TaxCatchAll" minOccurs="0"/>
                <xsd:element ref="ns1:ff29134aae3744b6a6125fd01d5263d4" minOccurs="0"/>
                <xsd:element ref="ns4:NotesUNID" minOccurs="0"/>
                <xsd:element ref="ns4:NotesTimeStamp" minOccurs="0"/>
                <xsd:element ref="ns4:NotesPart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708fd5-b208-40c2-9d3c-825d4a614a50" elementFormDefault="qualified">
    <xsd:import namespace="http://schemas.microsoft.com/office/2006/documentManagement/types"/>
    <xsd:import namespace="http://schemas.microsoft.com/office/infopath/2007/PartnerControls"/>
    <xsd:element name="BDAAbstract" ma:index="0" nillable="true" ma:displayName="BDAAbstract" ma:internalName="BDAAbstract">
      <xsd:simpleType>
        <xsd:restriction base="dms:Note">
          <xsd:maxLength value="255"/>
        </xsd:restriction>
      </xsd:simpleType>
    </xsd:element>
    <xsd:element name="BDAAPDisplay" ma:index="1" nillable="true" ma:displayName="BDAAPDisplay" ma:default="0" ma:internalName="BDAAPDisplay">
      <xsd:simpleType>
        <xsd:restriction base="dms:Boolean"/>
      </xsd:simpleType>
    </xsd:element>
    <xsd:element name="BDAGroups" ma:index="2" nillable="true" ma:displayName="BDAGroups" ma:default="BDA Beschäftigte" ma:internalName="BDAGroup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DA Beschäftigte"/>
                    <xsd:enumeration value="Gremienmitglied"/>
                    <xsd:enumeration value="Minimalzugriff"/>
                    <xsd:enumeration value="MM Verbandsmitarbeiter"/>
                    <xsd:enumeration value="UM Verbandsmitarbeiter"/>
                    <xsd:enumeration value="SSD"/>
                    <xsd:enumeration value="Tarifdatenbank"/>
                  </xsd:restriction>
                </xsd:simpleType>
              </xsd:element>
            </xsd:sequence>
          </xsd:extension>
        </xsd:complexContent>
      </xsd:complexType>
    </xsd:element>
    <xsd:element name="BDARSCategory" ma:index="4" ma:displayName="BDARSACategory" ma:default="RSAttachment" ma:internalName="BDARSACategory">
      <xsd:simpleType>
        <xsd:restriction base="dms:Text">
          <xsd:maxLength value="255"/>
        </xsd:restriction>
      </xsd:simpleType>
    </xsd:element>
    <xsd:element name="BDARSCatVerantwortung" ma:index="5" nillable="true" ma:displayName="BDARSCatVerantwortung" ma:internalName="BDARSCatVerantwortung">
      <xsd:simpleType>
        <xsd:restriction base="dms:Text"/>
      </xsd:simpleType>
    </xsd:element>
    <xsd:element name="BDASubject" ma:index="6" nillable="true" ma:displayName="BDASubject" ma:internalName="BDASubject">
      <xsd:simpleType>
        <xsd:restriction base="dms:Text"/>
      </xsd:simpleType>
    </xsd:element>
    <xsd:element name="CUSBereich" ma:index="8" nillable="true" ma:displayName="CUSBereich" ma:internalName="CUSBereich">
      <xsd:simpleType>
        <xsd:restriction base="dms:Text"/>
      </xsd:simpleType>
    </xsd:element>
    <xsd:element name="CustomerKeywords1" ma:index="9" nillable="true" ma:displayName="CustomerKeywords" ma:internalName="CustomerKeywords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default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DBType" ma:index="10" nillable="true" ma:displayName="DBType" ma:internalName="DBType">
      <xsd:simpleType>
        <xsd:restriction base="dms:Text"/>
      </xsd:simpleType>
    </xsd:element>
    <xsd:element name="MAAbstract" ma:index="11" nillable="true" ma:displayName="MAAbstract" ma:internalName="MAAbstract">
      <xsd:simpleType>
        <xsd:restriction base="dms:Text"/>
      </xsd:simpleType>
    </xsd:element>
    <xsd:element name="MAKategorie" ma:index="12" nillable="true" ma:displayName="MAKategorie" ma:internalName="MAKategorie">
      <xsd:simpleType>
        <xsd:restriction base="dms:Text"/>
      </xsd:simpleType>
    </xsd:element>
    <xsd:element name="MASubject" ma:index="13" nillable="true" ma:displayName="MASubject" ma:internalName="MASubject">
      <xsd:simpleType>
        <xsd:restriction base="dms:Text"/>
      </xsd:simpleType>
    </xsd:element>
    <xsd:element name="ParentRS" ma:index="14" nillable="true" ma:displayName="ParentRS" ma:format="Hyperlink" ma:internalName="ParentRS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RSAnschreibenName" ma:index="15" nillable="true" ma:displayName="RSAnschreibenName" ma:internalName="RSAnschreibenName">
      <xsd:simpleType>
        <xsd:restriction base="dms:Text"/>
      </xsd:simpleType>
    </xsd:element>
    <xsd:element name="RSDate" ma:index="16" nillable="true" ma:displayName="RSDate" ma:format="DateOnly" ma:indexed="true" ma:internalName="RSDate">
      <xsd:simpleType>
        <xsd:restriction base="dms:DateTime"/>
      </xsd:simpleType>
    </xsd:element>
    <xsd:element name="RSNr" ma:index="17" nillable="true" ma:displayName="RSNr" ma:internalName="RSNr">
      <xsd:simpleType>
        <xsd:restriction base="dms:Text"/>
      </xsd:simpleType>
    </xsd:element>
    <xsd:element name="WebReaders" ma:index="19" nillable="true" ma:displayName="WebReaders" ma:internalName="WebReaders">
      <xsd:simpleType>
        <xsd:restriction base="dms:Note"/>
      </xsd:simpleType>
    </xsd:element>
    <xsd:element name="WebReadersAlt" ma:index="20" nillable="true" ma:displayName="WebReadersAlt" ma:internalName="WebReadersAlt">
      <xsd:simpleType>
        <xsd:restriction base="dms:Note"/>
      </xsd:simpleType>
    </xsd:element>
    <xsd:element name="j94038fb304d42afa40d3caaadf10932" ma:index="24" nillable="true" ma:taxonomy="true" ma:internalName="j94038fb304d42afa40d3caaadf10932" ma:taxonomyFieldName="BDAKeywords" ma:displayName="BDAKeywords" ma:readOnly="false" ma:default="" ma:fieldId="{394038fb-304d-42af-a40d-3caaadf10932}" ma:taxonomyMulti="true" ma:sspId="e156ef4a-9bc2-4afb-9f3a-8b2cdc42df34" ma:termSetId="a04b9786-f041-492c-813e-0876f591433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f29134aae3744b6a6125fd01d5263d4" ma:index="26" nillable="true" ma:taxonomy="true" ma:internalName="ff29134aae3744b6a6125fd01d5263d4" ma:taxonomyFieldName="BDATopic" ma:displayName="BDATopic" ma:fieldId="{ff29134a-ae37-44b6-a612-5fd01d5263d4}" ma:sspId="e156ef4a-9bc2-4afb-9f3a-8b2cdc42df34" ma:termSetId="128f4093-10a9-4c13-8e3b-ab8e7dab5c75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8cc1df-57ac-4aac-b7f7-0f4de7d531aa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0f337a21-cfd5-4267-a8fa-07326ab797b4}" ma:internalName="TaxCatchAll" ma:showField="CatchAllData" ma:web="3e708fd5-b208-40c2-9d3c-825d4a614a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9312a4-6b9f-419e-824a-bc126e7c7d45" elementFormDefault="qualified">
    <xsd:import namespace="http://schemas.microsoft.com/office/2006/documentManagement/types"/>
    <xsd:import namespace="http://schemas.microsoft.com/office/infopath/2007/PartnerControls"/>
    <xsd:element name="NotesUNID" ma:index="31" nillable="true" ma:displayName="NotesUNID" ma:hidden="true" ma:indexed="true" ma:internalName="NotesUNID">
      <xsd:simpleType>
        <xsd:restriction base="dms:Text"/>
      </xsd:simpleType>
    </xsd:element>
    <xsd:element name="NotesTimeStamp" ma:index="32" nillable="true" ma:displayName="NotesTimeStamp" ma:hidden="true" ma:internalName="NotesTimeStamp">
      <xsd:simpleType>
        <xsd:restriction base="dms:DateTime"/>
      </xsd:simpleType>
    </xsd:element>
    <xsd:element name="NotesPart" ma:index="33" nillable="true" ma:displayName="NotesPart" ma:hidden="true" ma:internalName="NotesPart">
      <xsd:simpleType>
        <xsd:restriction base="dms:Text"/>
      </xsd:simpleType>
    </xsd:element>
    <xsd:element name="MediaServiceMetadata" ma:index="3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36" nillable="true" ma:displayName="MediaServiceAutoTags" ma:internalName="MediaServiceAutoTags" ma:readOnly="true">
      <xsd:simpleType>
        <xsd:restriction base="dms:Text"/>
      </xsd:simpleType>
    </xsd:element>
    <xsd:element name="MediaServiceOCR" ma:index="3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38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3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4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4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4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44" nillable="true" ma:taxonomy="true" ma:internalName="lcf76f155ced4ddcb4097134ff3c332f" ma:taxonomyFieldName="MediaServiceImageTags" ma:displayName="Bildmarkierungen" ma:readOnly="false" ma:fieldId="{5cf76f15-5ced-4ddc-b409-7134ff3c332f}" ma:taxonomyMulti="true" ma:sspId="e156ef4a-9bc2-4afb-9f3a-8b2cdc42df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4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4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7" ma:displayName="Inhaltstyp"/>
        <xsd:element ref="dc:title" minOccurs="0" maxOccurs="1" ma:index="18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d8cc1df-57ac-4aac-b7f7-0f4de7d531aa">
      <Value>1920</Value>
      <Value>44</Value>
      <Value>356</Value>
      <Value>1656</Value>
      <Value>2520</Value>
      <Value>2</Value>
    </TaxCatchAll>
    <lcf76f155ced4ddcb4097134ff3c332f xmlns="3c9312a4-6b9f-419e-824a-bc126e7c7d45">
      <Terms xmlns="http://schemas.microsoft.com/office/infopath/2007/PartnerControls"/>
    </lcf76f155ced4ddcb4097134ff3c332f>
    <CustomerKeywords1 xmlns="3e708fd5-b208-40c2-9d3c-825d4a614a50" xsi:nil="true"/>
    <MAKategorie xmlns="3e708fd5-b208-40c2-9d3c-825d4a614a50" xsi:nil="true"/>
    <NotesPart xmlns="3c9312a4-6b9f-419e-824a-bc126e7c7d45" xsi:nil="true"/>
    <BDAAPDisplay xmlns="3e708fd5-b208-40c2-9d3c-825d4a614a50">false</BDAAPDisplay>
    <BDARSCategory xmlns="3e708fd5-b208-40c2-9d3c-825d4a614a50">RSAttachment</BDARSCategory>
    <WebReaders xmlns="3e708fd5-b208-40c2-9d3c-825d4a614a50">bb9d1e0e-012f-e811-a9ba-000d3a2bb31e|f99f1e0e-012f-e811-a9ba-000d3a2bb31e|8f1452c9-123e-ea11-a812-000d3a3a7a43|bd9d1e0e-012f-e811-a9ba-000d3a2bb31e|0d019dee-002f-e811-a9ba-000d3a2bbda1|0f019dee-002f-e811-a9ba-000d3a2bbda1|e5009dee-002f-e811-a9ba-000d3a2bbda1</WebReaders>
    <j94038fb304d42afa40d3caaadf10932 xmlns="3e708fd5-b208-40c2-9d3c-825d4a614a50">
      <Terms xmlns="http://schemas.microsoft.com/office/infopath/2007/PartnerControls">
        <TermInfo xmlns="http://schemas.microsoft.com/office/infopath/2007/PartnerControls">
          <TermName xmlns="http://schemas.microsoft.com/office/infopath/2007/PartnerControls">Europäische Union</TermName>
          <TermId xmlns="http://schemas.microsoft.com/office/infopath/2007/PartnerControls">ed86b345-88f8-4a71-8f65-386d1ee9c907</TermId>
        </TermInfo>
        <TermInfo xmlns="http://schemas.microsoft.com/office/infopath/2007/PartnerControls">
          <TermName xmlns="http://schemas.microsoft.com/office/infopath/2007/PartnerControls">Kommission</TermName>
          <TermId xmlns="http://schemas.microsoft.com/office/infopath/2007/PartnerControls">3d052a06-af4e-4c40-9d7c-50291dde1ab0</TermId>
        </TermInfo>
        <TermInfo xmlns="http://schemas.microsoft.com/office/infopath/2007/PartnerControls">
          <TermName xmlns="http://schemas.microsoft.com/office/infopath/2007/PartnerControls">Due Diligence</TermName>
          <TermId xmlns="http://schemas.microsoft.com/office/infopath/2007/PartnerControls">616c5a09-1775-40c2-aa33-c7a8972bcde9</TermId>
        </TermInfo>
        <TermInfo xmlns="http://schemas.microsoft.com/office/infopath/2007/PartnerControls">
          <TermName xmlns="http://schemas.microsoft.com/office/infopath/2007/PartnerControls">Corporate Sustainability Due Diligence</TermName>
          <TermId xmlns="http://schemas.microsoft.com/office/infopath/2007/PartnerControls">6baa1d15-987a-49cc-85df-33bda443e7b0</TermId>
        </TermInfo>
        <TermInfo xmlns="http://schemas.microsoft.com/office/infopath/2007/PartnerControls">
          <TermName xmlns="http://schemas.microsoft.com/office/infopath/2007/PartnerControls">Lieferkette</TermName>
          <TermId xmlns="http://schemas.microsoft.com/office/infopath/2007/PartnerControls">315ee2f7-bbbc-4a54-80ee-2dcaa4736a3f</TermId>
        </TermInfo>
      </Terms>
    </j94038fb304d42afa40d3caaadf10932>
    <BDAAbstract xmlns="3e708fd5-b208-40c2-9d3c-825d4a614a50">Anbei finden Sie die abgestimmte BDA-Rückmeldung zur Konsultation zu den neuen Leitlinien zur Umsetzung der CSDDD</BDAAbstract>
    <NotesTimeStamp xmlns="3c9312a4-6b9f-419e-824a-bc126e7c7d45" xsi:nil="true"/>
    <BDASubject xmlns="3e708fd5-b208-40c2-9d3c-825d4a614a50">CSDDD-Leitlinien: Finale BDA-Rückmeldung Konsultation EU-Kommission</BDASubject>
    <NotesUNID xmlns="3c9312a4-6b9f-419e-824a-bc126e7c7d45" xsi:nil="true"/>
    <BDARSCatVerantwortung xmlns="3e708fd5-b208-40c2-9d3c-825d4a614a50" xsi:nil="true"/>
    <DBType xmlns="3e708fd5-b208-40c2-9d3c-825d4a614a50" xsi:nil="true"/>
    <RSNr xmlns="3e708fd5-b208-40c2-9d3c-825d4a614a50">IX/080/26</RSNr>
    <CUSBereich xmlns="3e708fd5-b208-40c2-9d3c-825d4a614a50" xsi:nil="true"/>
    <ff29134aae3744b6a6125fd01d5263d4 xmlns="3e708fd5-b208-40c2-9d3c-825d4a614a50">
      <Terms xmlns="http://schemas.microsoft.com/office/infopath/2007/PartnerControls">
        <TermInfo xmlns="http://schemas.microsoft.com/office/infopath/2007/PartnerControls">
          <TermName xmlns="http://schemas.microsoft.com/office/infopath/2007/PartnerControls">Europa und Internationales</TermName>
          <TermId xmlns="http://schemas.microsoft.com/office/infopath/2007/PartnerControls">9ce9cb95-b02c-40f9-a443-6986f2156fc4</TermId>
        </TermInfo>
      </Terms>
    </ff29134aae3744b6a6125fd01d5263d4>
    <BDAGroups xmlns="3e708fd5-b208-40c2-9d3c-825d4a614a50">
      <Value>BDA Beschäftigte</Value>
      <Value>UM Verbandsmitarbeiter</Value>
    </BDAGroups>
    <WebReadersAlt xmlns="3e708fd5-b208-40c2-9d3c-825d4a614a50" xsi:nil="true"/>
    <MAAbstract xmlns="3e708fd5-b208-40c2-9d3c-825d4a614a50">Anbei finden Sie die abgestimmte BDA-Rückmeldung zur Konsultation zu den neuen Leitlinien zur Umsetzung der CSDDD</MAAbstract>
    <ParentRS xmlns="3e708fd5-b208-40c2-9d3c-825d4a614a50">
      <Url>https://bdaev.sharepoint.com/sites/AGP_Rundschreiben/Rundschreiben/IX-080-26.aspx</Url>
      <Description>IX-080-26.aspx</Description>
    </ParentRS>
    <RSDate xmlns="3e708fd5-b208-40c2-9d3c-825d4a614a50">2026-07-16T22:00:00+00:00</RSDate>
    <MASubject xmlns="3e708fd5-b208-40c2-9d3c-825d4a614a50" xsi:nil="true"/>
    <RSAnschreibenName xmlns="3e708fd5-b208-40c2-9d3c-825d4a614a50" xsi:nil="true"/>
  </documentManagement>
</p:properties>
</file>

<file path=customXml/itemProps1.xml><?xml version="1.0" encoding="utf-8"?>
<ds:datastoreItem xmlns:ds="http://schemas.openxmlformats.org/officeDocument/2006/customXml" ds:itemID="{5E8CC80C-46BD-40B5-8CDD-148AB6EC73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19EF501-D6BE-4F69-8341-70B7530BD899}"/>
</file>

<file path=customXml/itemProps3.xml><?xml version="1.0" encoding="utf-8"?>
<ds:datastoreItem xmlns:ds="http://schemas.openxmlformats.org/officeDocument/2006/customXml" ds:itemID="{14799526-49F9-42FD-87AA-B735E0E09FF5}"/>
</file>

<file path=customXml/itemProps4.xml><?xml version="1.0" encoding="utf-8"?>
<ds:datastoreItem xmlns:ds="http://schemas.openxmlformats.org/officeDocument/2006/customXml" ds:itemID="{E01BADC6-36CD-4651-A25D-79F13FDB27B2}"/>
</file>

<file path=customXml/itemProps5.xml><?xml version="1.0" encoding="utf-8"?>
<ds:datastoreItem xmlns:ds="http://schemas.openxmlformats.org/officeDocument/2006/customXml" ds:itemID="{7E016A91-3852-4E58-83FB-F5534E45B40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530</Words>
  <Characters>3414</Characters>
  <Application>Microsoft Office Word</Application>
  <DocSecurity>0</DocSecurity>
  <Lines>200</Lines>
  <Paragraphs>151</Paragraphs>
  <ScaleCrop>false</ScaleCrop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CSDDD-Leitlinien: Finale BDA-Rückmeldung Konsultation EU-Kommission</dc:title>
  <dc:subject/>
  <dc:creator/>
  <cp:keywords/>
  <dc:description/>
  <cp:lastModifiedBy>Hagedorn Philip</cp:lastModifiedBy>
  <cp:revision>13</cp:revision>
  <dcterms:created xsi:type="dcterms:W3CDTF">2026-07-10T12:35:00Z</dcterms:created>
  <dcterms:modified xsi:type="dcterms:W3CDTF">2026-07-17T12:47:00Z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0x0101001A23AFF760B79D4795F03A32B00FF3C9</vt:lpwstr>
  </property>
  <property fmtid="{D5CDD505-2E9C-101B-9397-08002B2CF9AE}" pid="3" name="finanzrelevant">
    <vt:lpwstr/>
  </property>
  <property fmtid="{D5CDD505-2E9C-101B-9397-08002B2CF9AE}" pid="4" name="Aktenplan">
    <vt:lpwstr/>
  </property>
  <property fmtid="{D5CDD505-2E9C-101B-9397-08002B2CF9AE}" pid="5" name="Schlagwoerter">
    <vt:lpwstr>42;#Europäische Union|ed86b345-88f8-4a71-8f65-386d1ee9c907;#303;#Kommission|3d052a06-af4e-4c40-9d7c-50291dde1ab0;#547;#Due Diligence|616c5a09-1775-40c2-aa33-c7a8972bcde9;#3082;#Corporate Sustainability Due Diligence|6baa1d15-987a-49cc-85df-33bda443e7b0;#304;#Lieferkette|315ee2f7-bbbc-4a54-80ee-2dcaa4736a3f</vt:lpwstr>
  </property>
  <property fmtid="{D5CDD505-2E9C-101B-9397-08002B2CF9AE}" pid="6" name="Abteilungsübergreifende Kategorie">
    <vt:lpwstr/>
  </property>
  <property fmtid="{D5CDD505-2E9C-101B-9397-08002B2CF9AE}" pid="7" name="Organisationseinheit">
    <vt:lpwstr/>
  </property>
  <property fmtid="{D5CDD505-2E9C-101B-9397-08002B2CF9AE}" pid="8" name="Kategorie">
    <vt:lpwstr>2829;#ANLAGEN RUNDSCHREIBEN|89a482c3-dcc6-4384-b9c9-88610b33ad3d</vt:lpwstr>
  </property>
  <property fmtid="{D5CDD505-2E9C-101B-9397-08002B2CF9AE}" pid="9" name="Thema">
    <vt:lpwstr>283;#Europa und Internationales|9ce9cb95-b02c-40f9-a443-6986f2156fc4</vt:lpwstr>
  </property>
  <property fmtid="{D5CDD505-2E9C-101B-9397-08002B2CF9AE}" pid="10" name="Organisation">
    <vt:lpwstr/>
  </property>
  <property fmtid="{D5CDD505-2E9C-101B-9397-08002B2CF9AE}" pid="11" name="Abteilungs_x00fc_bergreifende_x0020_Kategorie">
    <vt:lpwstr/>
  </property>
  <property fmtid="{D5CDD505-2E9C-101B-9397-08002B2CF9AE}" pid="12" name="e7937559eeb34ae99925c068aafe66d10">
    <vt:lpwstr>ANLAGEN RUNDSCHREIBEN|89a482c3-dcc6-4384-b9c9-88610b33ad3d</vt:lpwstr>
  </property>
  <property fmtid="{D5CDD505-2E9C-101B-9397-08002B2CF9AE}" pid="13" name="j94b0257572242888c9ec0f5ae5a70ca0">
    <vt:lpwstr/>
  </property>
  <property fmtid="{D5CDD505-2E9C-101B-9397-08002B2CF9AE}" pid="14" name="cf461ef2fc334b5bae002e1a5c1d7bdd0">
    <vt:lpwstr/>
  </property>
  <property fmtid="{D5CDD505-2E9C-101B-9397-08002B2CF9AE}" pid="15" name="n29259cec2924fb7a50bcc6f71f529d80">
    <vt:lpwstr>Europa und Internationales|9ce9cb95-b02c-40f9-a443-6986f2156fc4</vt:lpwstr>
  </property>
  <property fmtid="{D5CDD505-2E9C-101B-9397-08002B2CF9AE}" pid="16" name="h09732b49c2b4373912d6861661dc72b0">
    <vt:lpwstr>Europäische Union|ed86b345-88f8-4a71-8f65-386d1ee9c907;Kommission|3d052a06-af4e-4c40-9d7c-50291dde1ab0;Due Diligence|616c5a09-1775-40c2-aa33-c7a8972bcde9;Corporate Sustainability Due Diligence|6baa1d15-987a-49cc-85df-33bda443e7b0;Lieferkette|315ee2f7-bbbc-4a54-80ee-2dcaa4736a3f</vt:lpwstr>
  </property>
  <property fmtid="{D5CDD505-2E9C-101B-9397-08002B2CF9AE}" pid="17" name="BDATopic">
    <vt:lpwstr>2;#Europa und Internationales|9ce9cb95-b02c-40f9-a443-6986f2156fc4</vt:lpwstr>
  </property>
  <property fmtid="{D5CDD505-2E9C-101B-9397-08002B2CF9AE}" pid="18" name="MediaServiceImageTags">
    <vt:lpwstr/>
  </property>
  <property fmtid="{D5CDD505-2E9C-101B-9397-08002B2CF9AE}" pid="19" name="BDAKeywords">
    <vt:lpwstr>44;#Europäische Union|ed86b345-88f8-4a71-8f65-386d1ee9c907;#356;#Kommission|3d052a06-af4e-4c40-9d7c-50291dde1ab0;#1920;#Due Diligence|616c5a09-1775-40c2-aa33-c7a8972bcde9;#2520;#Corporate Sustainability Due Diligence|6baa1d15-987a-49cc-85df-33bda443e7b0;#1656;#Lieferkette|315ee2f7-bbbc-4a54-80ee-2dcaa4736a3f</vt:lpwstr>
  </property>
</Properties>
</file>